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丰穗</w:t>
      </w:r>
      <w:r>
        <w:rPr>
          <w:rFonts w:asciiTheme="majorEastAsia" w:hAnsiTheme="majorEastAsia" w:eastAsiaTheme="majorEastAsia"/>
          <w:b/>
          <w:sz w:val="28"/>
          <w:szCs w:val="28"/>
        </w:rPr>
        <w:t>资本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FOF私募基金12月投资者月报</w:t>
      </w:r>
    </w:p>
    <w:p>
      <w:pPr>
        <w:rPr>
          <w:rFonts w:hint="eastAsia"/>
          <w:b/>
        </w:rPr>
      </w:pPr>
      <w:r>
        <w:rPr>
          <w:rFonts w:hint="eastAsia"/>
          <w:b/>
        </w:rPr>
        <w:t>FOF</w:t>
      </w:r>
      <w:r>
        <w:rPr>
          <w:b/>
        </w:rPr>
        <w:t>产品摘要</w:t>
      </w:r>
    </w:p>
    <w:p>
      <w:pPr>
        <w:rPr>
          <w:rFonts w:hint="eastAsia" w:cs="宋体" w:asciiTheme="minorEastAsia" w:hAnsiTheme="minorEastAsia"/>
          <w:color w:val="000000"/>
        </w:rPr>
      </w:pPr>
      <w:r>
        <w:rPr>
          <w:rFonts w:cs="微软雅黑" w:asciiTheme="minorEastAsia" w:hAnsiTheme="minorEastAsia"/>
          <w:color w:val="000000"/>
        </w:rPr>
        <w:t>三智启明</w:t>
      </w:r>
      <w:r>
        <w:rPr>
          <w:rFonts w:cs="Times New Roman" w:asciiTheme="minorEastAsia" w:hAnsiTheme="minorEastAsia"/>
          <w:color w:val="000000"/>
        </w:rPr>
        <w:t>-</w:t>
      </w:r>
      <w:r>
        <w:rPr>
          <w:rFonts w:cs="微软雅黑" w:asciiTheme="minorEastAsia" w:hAnsiTheme="minorEastAsia"/>
          <w:color w:val="000000"/>
        </w:rPr>
        <w:t>天秤</w:t>
      </w:r>
      <w:r>
        <w:rPr>
          <w:rFonts w:cs="Times New Roman" w:asciiTheme="minorEastAsia" w:hAnsiTheme="minorEastAsia"/>
          <w:color w:val="000000"/>
        </w:rPr>
        <w:t>1</w:t>
      </w:r>
      <w:r>
        <w:rPr>
          <w:rFonts w:cs="微软雅黑" w:asciiTheme="minorEastAsia" w:hAnsiTheme="minorEastAsia"/>
          <w:color w:val="000000"/>
        </w:rPr>
        <w:t>号</w:t>
      </w:r>
      <w:r>
        <w:rPr>
          <w:rFonts w:cs="Times New Roman" w:asciiTheme="minorEastAsia" w:hAnsiTheme="minorEastAsia"/>
          <w:color w:val="000000"/>
        </w:rPr>
        <w:t>FOF</w:t>
      </w:r>
      <w:r>
        <w:rPr>
          <w:rFonts w:cs="微软雅黑" w:asciiTheme="minorEastAsia" w:hAnsiTheme="minorEastAsia"/>
          <w:color w:val="000000"/>
        </w:rPr>
        <w:t>私募基</w:t>
      </w:r>
      <w:r>
        <w:rPr>
          <w:rFonts w:cs="宋体" w:asciiTheme="minorEastAsia" w:hAnsiTheme="minorEastAsia"/>
          <w:color w:val="000000"/>
        </w:rPr>
        <w:t>金2016年12月份的收益为-2.36%（费后），</w:t>
      </w:r>
      <w:r>
        <w:rPr>
          <w:rFonts w:hint="eastAsia" w:cs="宋体" w:asciiTheme="minorEastAsia" w:hAnsiTheme="minorEastAsia"/>
          <w:color w:val="000000"/>
        </w:rPr>
        <w:t>1</w:t>
      </w:r>
      <w:r>
        <w:rPr>
          <w:rFonts w:cs="宋体" w:asciiTheme="minorEastAsia" w:hAnsiTheme="minorEastAsia"/>
          <w:color w:val="000000"/>
        </w:rPr>
        <w:t>2</w:t>
      </w:r>
      <w:r>
        <w:rPr>
          <w:rFonts w:hint="eastAsia" w:cs="宋体" w:asciiTheme="minorEastAsia" w:hAnsiTheme="minorEastAsia"/>
          <w:color w:val="000000"/>
        </w:rPr>
        <w:t>月</w:t>
      </w:r>
      <w:r>
        <w:rPr>
          <w:rFonts w:cs="宋体" w:asciiTheme="minorEastAsia" w:hAnsiTheme="minorEastAsia"/>
          <w:color w:val="000000"/>
        </w:rPr>
        <w:t>末累计净值0.9819</w:t>
      </w:r>
      <w:r>
        <w:rPr>
          <w:rFonts w:hint="eastAsia" w:cs="宋体" w:asciiTheme="minorEastAsia" w:hAnsiTheme="minorEastAsia"/>
          <w:color w:val="000000"/>
        </w:rPr>
        <w:t>（年</w:t>
      </w:r>
      <w:r>
        <w:rPr>
          <w:rFonts w:cs="宋体" w:asciiTheme="minorEastAsia" w:hAnsiTheme="minorEastAsia"/>
          <w:color w:val="000000"/>
        </w:rPr>
        <w:t>管理费提前计提）。</w:t>
      </w:r>
      <w:r>
        <w:rPr>
          <w:rFonts w:hint="eastAsia" w:cs="宋体" w:asciiTheme="minorEastAsia" w:hAnsiTheme="minorEastAsia"/>
          <w:color w:val="000000"/>
        </w:rPr>
        <w:t>去年12月</w:t>
      </w:r>
      <w:r>
        <w:rPr>
          <w:rFonts w:cs="宋体" w:asciiTheme="minorEastAsia" w:hAnsiTheme="minorEastAsia"/>
          <w:color w:val="000000"/>
        </w:rPr>
        <w:t>股债</w:t>
      </w:r>
      <w:r>
        <w:rPr>
          <w:rFonts w:hint="eastAsia" w:cs="宋体" w:asciiTheme="minorEastAsia" w:hAnsiTheme="minorEastAsia"/>
          <w:color w:val="000000"/>
        </w:rPr>
        <w:t>“</w:t>
      </w:r>
      <w:r>
        <w:rPr>
          <w:rFonts w:cs="宋体" w:asciiTheme="minorEastAsia" w:hAnsiTheme="minorEastAsia"/>
          <w:color w:val="000000"/>
        </w:rPr>
        <w:t>双杀</w:t>
      </w:r>
      <w:r>
        <w:rPr>
          <w:rFonts w:hint="eastAsia" w:cs="宋体" w:asciiTheme="minorEastAsia" w:hAnsiTheme="minorEastAsia"/>
          <w:color w:val="000000"/>
        </w:rPr>
        <w:t>”</w:t>
      </w:r>
      <w:r>
        <w:rPr>
          <w:rFonts w:cs="宋体" w:asciiTheme="minorEastAsia" w:hAnsiTheme="minorEastAsia"/>
          <w:color w:val="000000"/>
        </w:rPr>
        <w:t>，商品结束</w:t>
      </w:r>
      <w:r>
        <w:rPr>
          <w:rFonts w:hint="eastAsia" w:cs="宋体" w:asciiTheme="minorEastAsia" w:hAnsiTheme="minorEastAsia"/>
          <w:color w:val="000000"/>
        </w:rPr>
        <w:t>11月</w:t>
      </w:r>
      <w:r>
        <w:rPr>
          <w:rFonts w:cs="宋体" w:asciiTheme="minorEastAsia" w:hAnsiTheme="minorEastAsia"/>
          <w:color w:val="000000"/>
        </w:rPr>
        <w:t>的暴涨暴跌行情后，</w:t>
      </w:r>
      <w:r>
        <w:rPr>
          <w:rFonts w:hint="eastAsia" w:cs="宋体" w:asciiTheme="minorEastAsia" w:hAnsiTheme="minorEastAsia"/>
          <w:color w:val="000000"/>
        </w:rPr>
        <w:t>波动率</w:t>
      </w:r>
      <w:r>
        <w:rPr>
          <w:rFonts w:cs="宋体" w:asciiTheme="minorEastAsia" w:hAnsiTheme="minorEastAsia"/>
          <w:color w:val="000000"/>
        </w:rPr>
        <w:t>有所降低，</w:t>
      </w:r>
      <w:r>
        <w:rPr>
          <w:rFonts w:hint="eastAsia" w:cs="宋体" w:asciiTheme="minorEastAsia" w:hAnsiTheme="minorEastAsia"/>
          <w:color w:val="000000"/>
        </w:rPr>
        <w:t>给我们</w:t>
      </w:r>
      <w:r>
        <w:rPr>
          <w:rFonts w:cs="宋体" w:asciiTheme="minorEastAsia" w:hAnsiTheme="minorEastAsia"/>
          <w:color w:val="000000"/>
        </w:rPr>
        <w:t>的对冲基金组合表现带来压力，</w:t>
      </w:r>
      <w:r>
        <w:rPr>
          <w:rFonts w:hint="eastAsia" w:cs="宋体" w:asciiTheme="minorEastAsia" w:hAnsiTheme="minorEastAsia"/>
          <w:color w:val="000000"/>
        </w:rPr>
        <w:t>股票</w:t>
      </w:r>
      <w:r>
        <w:rPr>
          <w:rFonts w:cs="宋体" w:asciiTheme="minorEastAsia" w:hAnsiTheme="minorEastAsia"/>
          <w:color w:val="000000"/>
        </w:rPr>
        <w:t>中性阿尔法策略</w:t>
      </w:r>
      <w:r>
        <w:rPr>
          <w:rFonts w:hint="eastAsia" w:cs="宋体" w:asciiTheme="minorEastAsia" w:hAnsiTheme="minorEastAsia"/>
          <w:color w:val="000000"/>
        </w:rPr>
        <w:t>在</w:t>
      </w:r>
      <w:r>
        <w:rPr>
          <w:rFonts w:cs="宋体" w:asciiTheme="minorEastAsia" w:hAnsiTheme="minorEastAsia"/>
          <w:color w:val="000000"/>
        </w:rPr>
        <w:t>“一九”行情中很难获利，股票多头产品遇到回撤，前期表现较好的商品套利策略也</w:t>
      </w:r>
      <w:r>
        <w:rPr>
          <w:rFonts w:hint="eastAsia" w:cs="宋体" w:asciiTheme="minorEastAsia" w:hAnsiTheme="minorEastAsia"/>
          <w:color w:val="000000"/>
        </w:rPr>
        <w:t>遭遇</w:t>
      </w:r>
      <w:r>
        <w:rPr>
          <w:rFonts w:cs="宋体" w:asciiTheme="minorEastAsia" w:hAnsiTheme="minorEastAsia"/>
          <w:color w:val="000000"/>
        </w:rPr>
        <w:t>利润回吐。总体</w:t>
      </w:r>
      <w:r>
        <w:rPr>
          <w:rFonts w:hint="eastAsia" w:cs="宋体" w:asciiTheme="minorEastAsia" w:hAnsiTheme="minorEastAsia"/>
          <w:color w:val="000000"/>
        </w:rPr>
        <w:t>来说</w:t>
      </w:r>
      <w:r>
        <w:rPr>
          <w:rFonts w:cs="宋体" w:asciiTheme="minorEastAsia" w:hAnsiTheme="minorEastAsia"/>
          <w:color w:val="000000"/>
        </w:rPr>
        <w:t>，FOF组合基金表现回吐了</w:t>
      </w:r>
      <w:r>
        <w:rPr>
          <w:rFonts w:hint="eastAsia" w:cs="宋体" w:asciiTheme="minorEastAsia" w:hAnsiTheme="minorEastAsia"/>
          <w:color w:val="000000"/>
        </w:rPr>
        <w:t>11月</w:t>
      </w:r>
      <w:r>
        <w:rPr>
          <w:rFonts w:cs="宋体" w:asciiTheme="minorEastAsia" w:hAnsiTheme="minorEastAsia"/>
          <w:color w:val="000000"/>
        </w:rPr>
        <w:t>的利润，</w:t>
      </w:r>
      <w:r>
        <w:rPr>
          <w:rFonts w:hint="eastAsia" w:cs="宋体" w:asciiTheme="minorEastAsia" w:hAnsiTheme="minorEastAsia"/>
          <w:color w:val="000000"/>
        </w:rPr>
        <w:t>剔除</w:t>
      </w:r>
      <w:r>
        <w:rPr>
          <w:rFonts w:cs="宋体" w:asciiTheme="minorEastAsia" w:hAnsiTheme="minorEastAsia"/>
          <w:color w:val="000000"/>
        </w:rPr>
        <w:t>预先计提管理费的因素，时间组合表现亏损</w:t>
      </w:r>
      <w:r>
        <w:rPr>
          <w:rFonts w:hint="eastAsia" w:cs="宋体" w:asciiTheme="minorEastAsia" w:hAnsiTheme="minorEastAsia"/>
          <w:color w:val="000000"/>
        </w:rPr>
        <w:t>1个</w:t>
      </w:r>
      <w:r>
        <w:rPr>
          <w:rFonts w:cs="宋体" w:asciiTheme="minorEastAsia" w:hAnsiTheme="minorEastAsia"/>
          <w:color w:val="000000"/>
        </w:rPr>
        <w:t>百分点，</w:t>
      </w:r>
      <w:r>
        <w:rPr>
          <w:rFonts w:hint="eastAsia" w:cs="宋体" w:asciiTheme="minorEastAsia" w:hAnsiTheme="minorEastAsia"/>
          <w:color w:val="000000"/>
        </w:rPr>
        <w:t>优于</w:t>
      </w:r>
      <w:r>
        <w:rPr>
          <w:rFonts w:cs="宋体" w:asciiTheme="minorEastAsia" w:hAnsiTheme="minorEastAsia"/>
          <w:color w:val="000000"/>
        </w:rPr>
        <w:t>沪深</w:t>
      </w:r>
      <w:r>
        <w:rPr>
          <w:rFonts w:hint="eastAsia" w:cs="宋体" w:asciiTheme="minorEastAsia" w:hAnsiTheme="minorEastAsia"/>
          <w:color w:val="000000"/>
        </w:rPr>
        <w:t>300指数</w:t>
      </w:r>
      <w:r>
        <w:rPr>
          <w:rFonts w:cs="宋体" w:asciiTheme="minorEastAsia" w:hAnsiTheme="minorEastAsia"/>
          <w:color w:val="000000"/>
        </w:rPr>
        <w:t>及</w:t>
      </w:r>
      <w:r>
        <w:rPr>
          <w:rFonts w:hint="eastAsia" w:cs="宋体" w:asciiTheme="minorEastAsia" w:hAnsiTheme="minorEastAsia"/>
          <w:color w:val="000000"/>
        </w:rPr>
        <w:t>大多数</w:t>
      </w:r>
      <w:r>
        <w:rPr>
          <w:rFonts w:cs="宋体" w:asciiTheme="minorEastAsia" w:hAnsiTheme="minorEastAsia"/>
          <w:color w:val="000000"/>
        </w:rPr>
        <w:t>私募投资基金。</w:t>
      </w:r>
    </w:p>
    <w:p>
      <w:pPr>
        <w:rPr>
          <w:rFonts w:hint="eastAsia"/>
        </w:rPr>
      </w:pPr>
      <w:r>
        <w:drawing>
          <wp:inline distT="0" distB="0" distL="0" distR="0">
            <wp:extent cx="5943600" cy="2766695"/>
            <wp:effectExtent l="0" t="0" r="0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/>
          <w:b/>
          <w:u w:val="single"/>
        </w:rPr>
      </w:pPr>
      <w:r>
        <w:rPr>
          <w:b/>
          <w:u w:val="single"/>
        </w:rPr>
        <w:t>股票策略-A股</w:t>
      </w:r>
    </w:p>
    <w:p>
      <w:pPr>
        <w:rPr>
          <w:rFonts w:hint="eastAsia"/>
        </w:rPr>
      </w:pPr>
      <w:r>
        <w:rPr>
          <w:rFonts w:hint="eastAsia"/>
        </w:rPr>
        <w:t>最近一个月，指数从3300向3100回调，主要触发因素是金融去杠杆下货币环境的边际转紧。受险资举牌监管从严以及央行锁短放长导致市场风格二八分化严重。货币转紧主要通过三种路径影响股市：1）金融去杠杆降低了货币乘数，抑制了金融市场的资金来源；2）利率上行从分母端抑制了市场估值，提高了机会成本，降低了权益资产的配置性价比；3）冲击债券等金融资产价格进而引发流动性风险。</w:t>
      </w:r>
    </w:p>
    <w:p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四季度市场回顾</w:t>
      </w:r>
    </w:p>
    <w:p>
      <w:pPr>
        <w:rPr>
          <w:rFonts w:hint="eastAsia"/>
        </w:rPr>
      </w:pPr>
      <w:r>
        <w:rPr>
          <w:b/>
        </w:rPr>
        <w:t>四季度权益市场维持震荡，版块分化加剧，预计下季度波动有所加剧</w:t>
      </w:r>
      <w:r>
        <w:t>。截止至2016年12月27日，四季度上证综指上涨3.92%，中小版下跌3.87%，创业板下跌8.18%。从行业来看，涨幅最大的五个行业分别是建筑装饰（15.50%）</w:t>
      </w:r>
      <w:r>
        <w:rPr>
          <w:rFonts w:hint="eastAsia" w:asciiTheme="minorEastAsia" w:hAnsiTheme="minorEastAsia"/>
        </w:rPr>
        <w:t>﹑</w:t>
      </w:r>
      <w:r>
        <w:t>钢铁（9.84%）</w:t>
      </w:r>
      <w:r>
        <w:rPr>
          <w:rFonts w:hint="eastAsia" w:asciiTheme="minorEastAsia" w:hAnsiTheme="minorEastAsia"/>
        </w:rPr>
        <w:t>﹑</w:t>
      </w:r>
      <w:r>
        <w:t>建筑材料（7.35%）</w:t>
      </w:r>
      <w:r>
        <w:rPr>
          <w:rFonts w:hint="eastAsia" w:asciiTheme="minorEastAsia" w:hAnsiTheme="minorEastAsia"/>
        </w:rPr>
        <w:t>﹑</w:t>
      </w:r>
      <w:r>
        <w:t>商业贸易（7.11%）和化工（5.03%）。跌幅最大的五个行业为计算机（-5.34%）</w:t>
      </w:r>
      <w:r>
        <w:rPr>
          <w:rFonts w:hint="eastAsia" w:asciiTheme="minorEastAsia" w:hAnsiTheme="minorEastAsia"/>
        </w:rPr>
        <w:t>﹑</w:t>
      </w:r>
      <w:r>
        <w:t>传媒（-5.23%）</w:t>
      </w:r>
      <w:r>
        <w:rPr>
          <w:rFonts w:hint="eastAsia" w:asciiTheme="minorEastAsia" w:hAnsiTheme="minorEastAsia"/>
        </w:rPr>
        <w:t>﹑</w:t>
      </w:r>
      <w:r>
        <w:t>电气设备（-3.29%</w:t>
      </w:r>
      <w:r>
        <w:rPr>
          <w:rFonts w:hint="eastAsia"/>
        </w:rPr>
        <w:t>）</w:t>
      </w:r>
      <w:r>
        <w:rPr>
          <w:rFonts w:hint="eastAsia" w:asciiTheme="minorEastAsia" w:hAnsiTheme="minorEastAsia"/>
        </w:rPr>
        <w:t>﹑</w:t>
      </w:r>
      <w:r>
        <w:rPr>
          <w:rFonts w:hint="eastAsia"/>
        </w:rPr>
        <w:t>有色金属（-2.77%）</w:t>
      </w:r>
      <w:r>
        <w:t>和电子（-2.27%）。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943600" cy="24923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b/>
        </w:rPr>
        <w:t>四季度债券市场遭遇大幅波动，预计下季度仍会有相应调整</w:t>
      </w:r>
      <w:r>
        <w:t>。利率债方面，四季度十年国债到期收益率从2.73%上升至3.16%；一年期国债也从9月底的2.16上升至2.73%；期限利差有所下行。信用债方面，银行间固定利率企业总收益率（AAA/5年）从3.14%上升至4.05%；银行间固定利率企业债收益率（AA/5年）从3.66%上升至4.75%；信用利差开始反弹从0.52%回升至0.70%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495550" cy="1581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830" cy="15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黑色金属</w:t>
      </w:r>
    </w:p>
    <w:p>
      <w:pPr>
        <w:rPr>
          <w:rFonts w:ascii="宋体" w:hAnsi="宋体"/>
        </w:rPr>
      </w:pPr>
      <w:r>
        <w:t>2016年行情回顾 – 煤焦钢矿可谓是华丽转身，印证了</w:t>
      </w:r>
      <w:r>
        <w:rPr>
          <w:rFonts w:hint="eastAsia" w:ascii="宋体" w:hAnsi="宋体" w:eastAsia="宋体"/>
        </w:rPr>
        <w:t>＂</w:t>
      </w:r>
      <w:r>
        <w:t>市场瞬息万变</w:t>
      </w:r>
      <w:r>
        <w:rPr>
          <w:rFonts w:hint="eastAsia" w:ascii="宋体" w:hAnsi="宋体" w:eastAsia="宋体"/>
        </w:rPr>
        <w:t>＂的真理。黑色系全品种从3月初展开强势上涨行情，至2016年6月1日，焦炭主力合约自2015年600元/吨低位最高涨至1142元/吨；焦煤主力合约自2015年484元/吨低位最高涨至837元/吨；铁矿主力合约自282元/吨低位最高涨至502元/吨；螺纹主力合约自1618元/吨低位最高涨至</w:t>
      </w:r>
      <w:r>
        <w:rPr>
          <w:rFonts w:ascii="宋体" w:hAnsi="宋体" w:eastAsia="宋体"/>
        </w:rPr>
        <w:t>2580</w:t>
      </w:r>
      <w:r>
        <w:rPr>
          <w:rFonts w:hint="eastAsia" w:ascii="宋体" w:hAnsi="宋体" w:eastAsia="宋体"/>
        </w:rPr>
        <w:t>元/吨;</w:t>
      </w:r>
      <w:r>
        <w:rPr>
          <w:rFonts w:hint="eastAsia" w:ascii="宋体" w:hAnsi="宋体"/>
        </w:rPr>
        <w:t>热卷</w:t>
      </w:r>
      <w:r>
        <w:rPr>
          <w:rFonts w:hint="eastAsia" w:ascii="宋体" w:hAnsi="宋体" w:eastAsia="宋体"/>
        </w:rPr>
        <w:t>主力合约自1675元/吨低位最高涨至2969元/吨；截止2016年6月焦炭﹑焦煤﹑铁矿﹑螺纹及</w:t>
      </w:r>
      <w:r>
        <w:rPr>
          <w:rFonts w:hint="eastAsia" w:ascii="宋体" w:hAnsi="宋体"/>
        </w:rPr>
        <w:t>热卷自低部计算，最大涨幅分别为90</w:t>
      </w:r>
      <w:r>
        <w:rPr>
          <w:rFonts w:ascii="宋体" w:hAnsi="宋体"/>
        </w:rPr>
        <w:t>%,73%,78%，59%,77%。</w:t>
      </w:r>
    </w:p>
    <w:p>
      <w:pPr>
        <w:rPr>
          <w:rFonts w:ascii="宋体" w:hAnsi="宋体"/>
        </w:rPr>
      </w:pPr>
      <w:r>
        <w:rPr>
          <w:rFonts w:ascii="宋体" w:hAnsi="宋体"/>
        </w:rPr>
        <w:t>在</w:t>
      </w:r>
      <w:r>
        <w:rPr>
          <w:rFonts w:hint="eastAsia" w:ascii="宋体" w:hAnsi="宋体" w:eastAsia="宋体"/>
        </w:rPr>
        <w:t>＂买涨不买跌＂心态的驱使下，2016年整体交投气氛良好，一改2015年的成交萎靡格局，市场又活跃起来。2016年下半年，黑色全系品种继续发力，扩大上涨空间，截止2016年底，焦炭</w:t>
      </w:r>
      <w:bookmarkStart w:id="0" w:name="_GoBack"/>
      <w:bookmarkEnd w:id="0"/>
      <w:r>
        <w:rPr>
          <w:rFonts w:hint="eastAsia" w:ascii="宋体" w:hAnsi="宋体" w:eastAsia="宋体"/>
        </w:rPr>
        <w:t>﹑焦煤﹑铁矿﹑螺纹及</w:t>
      </w:r>
      <w:r>
        <w:rPr>
          <w:rFonts w:hint="eastAsia" w:ascii="宋体" w:hAnsi="宋体"/>
        </w:rPr>
        <w:t>热卷年度涨幅分别为174%，123%，100.4%，96.47%，96%。</w:t>
      </w:r>
    </w:p>
    <w:p>
      <w:pPr>
        <w:rPr>
          <w:rFonts w:ascii="宋体" w:hAnsi="宋体"/>
        </w:rPr>
      </w:pPr>
      <w:r>
        <w:rPr>
          <w:rFonts w:ascii="宋体" w:hAnsi="宋体"/>
        </w:rPr>
        <w:t>在品种持续创出年内新高的背景之下，涨速及涨幅亦属历史罕见。究其原因主要是供给侧改革</w:t>
      </w:r>
      <w:r>
        <w:rPr>
          <w:rFonts w:hint="eastAsia" w:asciiTheme="minorEastAsia" w:hAnsiTheme="minorEastAsia"/>
        </w:rPr>
        <w:t>﹑</w:t>
      </w:r>
      <w:r>
        <w:rPr>
          <w:rFonts w:ascii="宋体" w:hAnsi="宋体"/>
        </w:rPr>
        <w:t>国内流动性过剩及国内基建投资规模加大所至。</w:t>
      </w:r>
    </w:p>
    <w:p>
      <w:pPr>
        <w:rPr>
          <w:rFonts w:ascii="宋体" w:hAnsi="宋体"/>
        </w:rPr>
      </w:pPr>
    </w:p>
    <w:p>
      <w:pPr>
        <w:autoSpaceDE w:val="0"/>
        <w:autoSpaceDN w:val="0"/>
        <w:adjustRightInd w:val="0"/>
        <w:ind w:right="290" w:rightChars="132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 xml:space="preserve">图1： 焦煤价格强势领先工业品涨幅                   </w:t>
      </w:r>
      <w:r>
        <w:rPr>
          <w:rFonts w:hAnsi="宋体"/>
          <w:b/>
          <w:sz w:val="18"/>
          <w:szCs w:val="18"/>
        </w:rPr>
        <w:tab/>
      </w:r>
      <w:r>
        <w:rPr>
          <w:rFonts w:hAnsi="宋体"/>
          <w:b/>
          <w:sz w:val="18"/>
          <w:szCs w:val="18"/>
        </w:rPr>
        <w:tab/>
      </w:r>
      <w:r>
        <w:rPr>
          <w:rFonts w:hint="eastAsia" w:hAnsi="宋体"/>
          <w:b/>
          <w:sz w:val="18"/>
          <w:szCs w:val="18"/>
        </w:rPr>
        <w:t>图2：  黑色系商品指数加速上涨</w:t>
      </w:r>
    </w:p>
    <w:p>
      <w:pPr>
        <w:keepNext/>
        <w:pBdr>
          <w:top w:val="single" w:color="800000" w:sz="12" w:space="3"/>
          <w:bottom w:val="single" w:color="800000" w:sz="12" w:space="1"/>
        </w:pBdr>
        <w:ind w:firstLine="110" w:firstLineChars="50"/>
        <w:rPr>
          <w:rFonts w:hint="eastAsia"/>
        </w:rPr>
      </w:pPr>
      <w:r>
        <w:drawing>
          <wp:inline distT="0" distB="0" distL="0" distR="0">
            <wp:extent cx="2876550" cy="2162175"/>
            <wp:effectExtent l="19050" t="0" r="0" b="0"/>
            <wp:docPr id="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914650" cy="2200275"/>
            <wp:effectExtent l="19050" t="0" r="0" b="0"/>
            <wp:docPr id="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2A"/>
    <w:rsid w:val="00001888"/>
    <w:rsid w:val="00007D1F"/>
    <w:rsid w:val="00011B65"/>
    <w:rsid w:val="000144A6"/>
    <w:rsid w:val="00017320"/>
    <w:rsid w:val="00020874"/>
    <w:rsid w:val="00020FD9"/>
    <w:rsid w:val="00021290"/>
    <w:rsid w:val="000310F6"/>
    <w:rsid w:val="0003661A"/>
    <w:rsid w:val="00040C72"/>
    <w:rsid w:val="0004353F"/>
    <w:rsid w:val="000532CF"/>
    <w:rsid w:val="00054E6D"/>
    <w:rsid w:val="00055E3E"/>
    <w:rsid w:val="000566FE"/>
    <w:rsid w:val="00062495"/>
    <w:rsid w:val="00082071"/>
    <w:rsid w:val="00082290"/>
    <w:rsid w:val="00085873"/>
    <w:rsid w:val="00086C51"/>
    <w:rsid w:val="00086C5A"/>
    <w:rsid w:val="00093E90"/>
    <w:rsid w:val="00095B97"/>
    <w:rsid w:val="000974DD"/>
    <w:rsid w:val="000A6D55"/>
    <w:rsid w:val="000B25BC"/>
    <w:rsid w:val="000B4C4E"/>
    <w:rsid w:val="000C10C2"/>
    <w:rsid w:val="000D02D2"/>
    <w:rsid w:val="000D2A12"/>
    <w:rsid w:val="000D7803"/>
    <w:rsid w:val="000D7CBD"/>
    <w:rsid w:val="000E16F7"/>
    <w:rsid w:val="000E4161"/>
    <w:rsid w:val="000E45CC"/>
    <w:rsid w:val="000F0198"/>
    <w:rsid w:val="000F2399"/>
    <w:rsid w:val="00100FA9"/>
    <w:rsid w:val="00102BE2"/>
    <w:rsid w:val="00116A21"/>
    <w:rsid w:val="00121E13"/>
    <w:rsid w:val="00123520"/>
    <w:rsid w:val="00123F7B"/>
    <w:rsid w:val="001359CF"/>
    <w:rsid w:val="00135A82"/>
    <w:rsid w:val="0013715E"/>
    <w:rsid w:val="00141F27"/>
    <w:rsid w:val="001447D0"/>
    <w:rsid w:val="0015029C"/>
    <w:rsid w:val="00150699"/>
    <w:rsid w:val="00151CA7"/>
    <w:rsid w:val="00152374"/>
    <w:rsid w:val="00154125"/>
    <w:rsid w:val="00165245"/>
    <w:rsid w:val="001652D4"/>
    <w:rsid w:val="001656DA"/>
    <w:rsid w:val="001748E7"/>
    <w:rsid w:val="0017745E"/>
    <w:rsid w:val="001823E1"/>
    <w:rsid w:val="00182B5C"/>
    <w:rsid w:val="00194CBE"/>
    <w:rsid w:val="00195269"/>
    <w:rsid w:val="001965FA"/>
    <w:rsid w:val="001A1AA5"/>
    <w:rsid w:val="001A1D7A"/>
    <w:rsid w:val="001A5D35"/>
    <w:rsid w:val="001B09EF"/>
    <w:rsid w:val="001B0E6D"/>
    <w:rsid w:val="001B27AF"/>
    <w:rsid w:val="001B5151"/>
    <w:rsid w:val="001C029B"/>
    <w:rsid w:val="001C7083"/>
    <w:rsid w:val="001D3B17"/>
    <w:rsid w:val="001F0085"/>
    <w:rsid w:val="001F5A32"/>
    <w:rsid w:val="00201CAA"/>
    <w:rsid w:val="00201FF1"/>
    <w:rsid w:val="002022E7"/>
    <w:rsid w:val="00206A96"/>
    <w:rsid w:val="002153DF"/>
    <w:rsid w:val="00216EAA"/>
    <w:rsid w:val="00222328"/>
    <w:rsid w:val="00222FF5"/>
    <w:rsid w:val="00224639"/>
    <w:rsid w:val="00236F37"/>
    <w:rsid w:val="00241836"/>
    <w:rsid w:val="00246F37"/>
    <w:rsid w:val="00247C1A"/>
    <w:rsid w:val="0025386D"/>
    <w:rsid w:val="00255269"/>
    <w:rsid w:val="00270073"/>
    <w:rsid w:val="0027032C"/>
    <w:rsid w:val="00270392"/>
    <w:rsid w:val="00286082"/>
    <w:rsid w:val="00287358"/>
    <w:rsid w:val="002A4C53"/>
    <w:rsid w:val="002B44E6"/>
    <w:rsid w:val="002B7F2B"/>
    <w:rsid w:val="002C0C49"/>
    <w:rsid w:val="002C16A8"/>
    <w:rsid w:val="002C2821"/>
    <w:rsid w:val="002C3D44"/>
    <w:rsid w:val="002C44E8"/>
    <w:rsid w:val="002C59B5"/>
    <w:rsid w:val="002C662B"/>
    <w:rsid w:val="002C6F85"/>
    <w:rsid w:val="002D1CDA"/>
    <w:rsid w:val="002D2FCD"/>
    <w:rsid w:val="002D36A5"/>
    <w:rsid w:val="002E47D6"/>
    <w:rsid w:val="002E79D5"/>
    <w:rsid w:val="003010AC"/>
    <w:rsid w:val="00307B92"/>
    <w:rsid w:val="00310E56"/>
    <w:rsid w:val="00316A94"/>
    <w:rsid w:val="00320202"/>
    <w:rsid w:val="0032089A"/>
    <w:rsid w:val="0032099E"/>
    <w:rsid w:val="00320B1D"/>
    <w:rsid w:val="003246FD"/>
    <w:rsid w:val="00325832"/>
    <w:rsid w:val="00337DA5"/>
    <w:rsid w:val="00341B4B"/>
    <w:rsid w:val="00342B85"/>
    <w:rsid w:val="00342D68"/>
    <w:rsid w:val="003459DE"/>
    <w:rsid w:val="0034668E"/>
    <w:rsid w:val="003503DD"/>
    <w:rsid w:val="003550B6"/>
    <w:rsid w:val="0035519A"/>
    <w:rsid w:val="0035606A"/>
    <w:rsid w:val="003564D9"/>
    <w:rsid w:val="003573FD"/>
    <w:rsid w:val="00367AC0"/>
    <w:rsid w:val="003716BE"/>
    <w:rsid w:val="0037255D"/>
    <w:rsid w:val="0037310E"/>
    <w:rsid w:val="00377E7A"/>
    <w:rsid w:val="003A048C"/>
    <w:rsid w:val="003A0C4B"/>
    <w:rsid w:val="003A7BB1"/>
    <w:rsid w:val="003A7CB4"/>
    <w:rsid w:val="003B0E78"/>
    <w:rsid w:val="003B1F9C"/>
    <w:rsid w:val="003B4A4D"/>
    <w:rsid w:val="003C24D5"/>
    <w:rsid w:val="003C4DA8"/>
    <w:rsid w:val="003C6AE4"/>
    <w:rsid w:val="003C790E"/>
    <w:rsid w:val="003D3963"/>
    <w:rsid w:val="003D48BD"/>
    <w:rsid w:val="003D59DB"/>
    <w:rsid w:val="003D64DC"/>
    <w:rsid w:val="003D64E7"/>
    <w:rsid w:val="003E04B0"/>
    <w:rsid w:val="003E5080"/>
    <w:rsid w:val="003E622A"/>
    <w:rsid w:val="003F2950"/>
    <w:rsid w:val="003F360C"/>
    <w:rsid w:val="003F7829"/>
    <w:rsid w:val="00402D9C"/>
    <w:rsid w:val="0040335C"/>
    <w:rsid w:val="00415959"/>
    <w:rsid w:val="00417AA4"/>
    <w:rsid w:val="00420131"/>
    <w:rsid w:val="0042109E"/>
    <w:rsid w:val="004257CA"/>
    <w:rsid w:val="004263A4"/>
    <w:rsid w:val="00430BBF"/>
    <w:rsid w:val="004328A0"/>
    <w:rsid w:val="004366F0"/>
    <w:rsid w:val="004408AE"/>
    <w:rsid w:val="0044325A"/>
    <w:rsid w:val="0045494B"/>
    <w:rsid w:val="004557E0"/>
    <w:rsid w:val="0045676C"/>
    <w:rsid w:val="0047089F"/>
    <w:rsid w:val="00471357"/>
    <w:rsid w:val="00471846"/>
    <w:rsid w:val="004743F9"/>
    <w:rsid w:val="00475230"/>
    <w:rsid w:val="00476AB8"/>
    <w:rsid w:val="00476DA9"/>
    <w:rsid w:val="004838B0"/>
    <w:rsid w:val="00486F81"/>
    <w:rsid w:val="00490910"/>
    <w:rsid w:val="00490A99"/>
    <w:rsid w:val="004916FD"/>
    <w:rsid w:val="00491C88"/>
    <w:rsid w:val="0049379F"/>
    <w:rsid w:val="00494195"/>
    <w:rsid w:val="00496A8B"/>
    <w:rsid w:val="00497A4C"/>
    <w:rsid w:val="004A0B53"/>
    <w:rsid w:val="004A0E11"/>
    <w:rsid w:val="004A3003"/>
    <w:rsid w:val="004B15EE"/>
    <w:rsid w:val="004B5226"/>
    <w:rsid w:val="004B628B"/>
    <w:rsid w:val="004C7449"/>
    <w:rsid w:val="004D0342"/>
    <w:rsid w:val="004D113E"/>
    <w:rsid w:val="004D37EC"/>
    <w:rsid w:val="004D452C"/>
    <w:rsid w:val="004E3AC3"/>
    <w:rsid w:val="004E3BCA"/>
    <w:rsid w:val="004E6F19"/>
    <w:rsid w:val="004F1F4E"/>
    <w:rsid w:val="004F5805"/>
    <w:rsid w:val="004F71B5"/>
    <w:rsid w:val="00506B00"/>
    <w:rsid w:val="005077C4"/>
    <w:rsid w:val="00510323"/>
    <w:rsid w:val="00513788"/>
    <w:rsid w:val="00514232"/>
    <w:rsid w:val="005238EC"/>
    <w:rsid w:val="005304B6"/>
    <w:rsid w:val="00532229"/>
    <w:rsid w:val="00533A72"/>
    <w:rsid w:val="00536198"/>
    <w:rsid w:val="0053633D"/>
    <w:rsid w:val="00536AF2"/>
    <w:rsid w:val="00537984"/>
    <w:rsid w:val="00540240"/>
    <w:rsid w:val="00551A07"/>
    <w:rsid w:val="00555DB8"/>
    <w:rsid w:val="005615C1"/>
    <w:rsid w:val="00561D0E"/>
    <w:rsid w:val="005645C5"/>
    <w:rsid w:val="00564BDE"/>
    <w:rsid w:val="005810F2"/>
    <w:rsid w:val="00581166"/>
    <w:rsid w:val="005822E4"/>
    <w:rsid w:val="00582F09"/>
    <w:rsid w:val="00590765"/>
    <w:rsid w:val="005946A7"/>
    <w:rsid w:val="005A1A08"/>
    <w:rsid w:val="005A5727"/>
    <w:rsid w:val="005B0996"/>
    <w:rsid w:val="005B23D2"/>
    <w:rsid w:val="005B3F3B"/>
    <w:rsid w:val="005B614B"/>
    <w:rsid w:val="005C0A7D"/>
    <w:rsid w:val="005D12C2"/>
    <w:rsid w:val="005E15DF"/>
    <w:rsid w:val="005E3605"/>
    <w:rsid w:val="005F78E5"/>
    <w:rsid w:val="00604E33"/>
    <w:rsid w:val="006054CB"/>
    <w:rsid w:val="00607210"/>
    <w:rsid w:val="006176C4"/>
    <w:rsid w:val="00621C92"/>
    <w:rsid w:val="00621E83"/>
    <w:rsid w:val="00623D74"/>
    <w:rsid w:val="0063102C"/>
    <w:rsid w:val="00641050"/>
    <w:rsid w:val="00642E5E"/>
    <w:rsid w:val="00643361"/>
    <w:rsid w:val="0064706B"/>
    <w:rsid w:val="00670066"/>
    <w:rsid w:val="00670CAC"/>
    <w:rsid w:val="0067231F"/>
    <w:rsid w:val="00682B62"/>
    <w:rsid w:val="00684A13"/>
    <w:rsid w:val="00684E0C"/>
    <w:rsid w:val="006922D5"/>
    <w:rsid w:val="00693401"/>
    <w:rsid w:val="0069446C"/>
    <w:rsid w:val="00697CE3"/>
    <w:rsid w:val="006A21D9"/>
    <w:rsid w:val="006A4E87"/>
    <w:rsid w:val="006A5C1D"/>
    <w:rsid w:val="006B2080"/>
    <w:rsid w:val="006B3D01"/>
    <w:rsid w:val="006C0FB5"/>
    <w:rsid w:val="006C6FBF"/>
    <w:rsid w:val="006D382A"/>
    <w:rsid w:val="006E0D3B"/>
    <w:rsid w:val="006E51E5"/>
    <w:rsid w:val="006F2DD7"/>
    <w:rsid w:val="006F717A"/>
    <w:rsid w:val="007009C6"/>
    <w:rsid w:val="007019C2"/>
    <w:rsid w:val="007072F6"/>
    <w:rsid w:val="00710387"/>
    <w:rsid w:val="00713172"/>
    <w:rsid w:val="00716017"/>
    <w:rsid w:val="007228C1"/>
    <w:rsid w:val="00722BBC"/>
    <w:rsid w:val="00724C27"/>
    <w:rsid w:val="00724D87"/>
    <w:rsid w:val="00727F72"/>
    <w:rsid w:val="00736A1A"/>
    <w:rsid w:val="0074198A"/>
    <w:rsid w:val="00743120"/>
    <w:rsid w:val="007440B3"/>
    <w:rsid w:val="00753D39"/>
    <w:rsid w:val="00756136"/>
    <w:rsid w:val="007638DC"/>
    <w:rsid w:val="00766849"/>
    <w:rsid w:val="007743DD"/>
    <w:rsid w:val="00782219"/>
    <w:rsid w:val="00782985"/>
    <w:rsid w:val="007848EE"/>
    <w:rsid w:val="007854A3"/>
    <w:rsid w:val="0078680D"/>
    <w:rsid w:val="007943A2"/>
    <w:rsid w:val="00797393"/>
    <w:rsid w:val="007A1CC0"/>
    <w:rsid w:val="007B2285"/>
    <w:rsid w:val="007B5412"/>
    <w:rsid w:val="007B7984"/>
    <w:rsid w:val="007C10E8"/>
    <w:rsid w:val="007D1769"/>
    <w:rsid w:val="007E3975"/>
    <w:rsid w:val="007E3B6D"/>
    <w:rsid w:val="007E4C9D"/>
    <w:rsid w:val="00814E44"/>
    <w:rsid w:val="008164A2"/>
    <w:rsid w:val="00821DDC"/>
    <w:rsid w:val="0082273E"/>
    <w:rsid w:val="0082438F"/>
    <w:rsid w:val="00824B8C"/>
    <w:rsid w:val="00825934"/>
    <w:rsid w:val="00832F2A"/>
    <w:rsid w:val="008330C8"/>
    <w:rsid w:val="00834615"/>
    <w:rsid w:val="00834BD7"/>
    <w:rsid w:val="00834DC4"/>
    <w:rsid w:val="00835857"/>
    <w:rsid w:val="00835D46"/>
    <w:rsid w:val="00850153"/>
    <w:rsid w:val="008510F7"/>
    <w:rsid w:val="00863D5C"/>
    <w:rsid w:val="008715FC"/>
    <w:rsid w:val="008744EE"/>
    <w:rsid w:val="00877673"/>
    <w:rsid w:val="00877EB0"/>
    <w:rsid w:val="00885426"/>
    <w:rsid w:val="008921A2"/>
    <w:rsid w:val="008935CD"/>
    <w:rsid w:val="00893F2D"/>
    <w:rsid w:val="00895AC6"/>
    <w:rsid w:val="008A4573"/>
    <w:rsid w:val="008A6E91"/>
    <w:rsid w:val="008B31AD"/>
    <w:rsid w:val="008B4ABE"/>
    <w:rsid w:val="008C16B9"/>
    <w:rsid w:val="008C1FE0"/>
    <w:rsid w:val="008C2180"/>
    <w:rsid w:val="008C48B2"/>
    <w:rsid w:val="008C4FB9"/>
    <w:rsid w:val="008C78FE"/>
    <w:rsid w:val="008D1D7D"/>
    <w:rsid w:val="008D3364"/>
    <w:rsid w:val="008E37AE"/>
    <w:rsid w:val="008E592C"/>
    <w:rsid w:val="008F2DCE"/>
    <w:rsid w:val="008F5E26"/>
    <w:rsid w:val="008F6B31"/>
    <w:rsid w:val="009058A2"/>
    <w:rsid w:val="00905C3F"/>
    <w:rsid w:val="00907383"/>
    <w:rsid w:val="009110A3"/>
    <w:rsid w:val="009131B8"/>
    <w:rsid w:val="009145EE"/>
    <w:rsid w:val="00914E67"/>
    <w:rsid w:val="00916575"/>
    <w:rsid w:val="0091671E"/>
    <w:rsid w:val="00922CF3"/>
    <w:rsid w:val="00926BC0"/>
    <w:rsid w:val="00927C49"/>
    <w:rsid w:val="009308A9"/>
    <w:rsid w:val="00931F73"/>
    <w:rsid w:val="0093357D"/>
    <w:rsid w:val="00941852"/>
    <w:rsid w:val="00944352"/>
    <w:rsid w:val="00947ECE"/>
    <w:rsid w:val="0095034F"/>
    <w:rsid w:val="0095587A"/>
    <w:rsid w:val="00957197"/>
    <w:rsid w:val="00962F1D"/>
    <w:rsid w:val="00965113"/>
    <w:rsid w:val="00967058"/>
    <w:rsid w:val="00970CEC"/>
    <w:rsid w:val="00974460"/>
    <w:rsid w:val="00974527"/>
    <w:rsid w:val="009755BD"/>
    <w:rsid w:val="009760B7"/>
    <w:rsid w:val="00976635"/>
    <w:rsid w:val="00976B48"/>
    <w:rsid w:val="009849EC"/>
    <w:rsid w:val="00986466"/>
    <w:rsid w:val="00990BF6"/>
    <w:rsid w:val="00993F9B"/>
    <w:rsid w:val="009950B3"/>
    <w:rsid w:val="009A284C"/>
    <w:rsid w:val="009A3D85"/>
    <w:rsid w:val="009A4324"/>
    <w:rsid w:val="009B3B5B"/>
    <w:rsid w:val="009B3D86"/>
    <w:rsid w:val="009B5DC2"/>
    <w:rsid w:val="009C2E03"/>
    <w:rsid w:val="009C4499"/>
    <w:rsid w:val="009C54D0"/>
    <w:rsid w:val="009D55A0"/>
    <w:rsid w:val="009E0D02"/>
    <w:rsid w:val="009E59EA"/>
    <w:rsid w:val="009E6313"/>
    <w:rsid w:val="009F2D0E"/>
    <w:rsid w:val="009F32BB"/>
    <w:rsid w:val="009F5D1C"/>
    <w:rsid w:val="009F69EB"/>
    <w:rsid w:val="009F6BB2"/>
    <w:rsid w:val="00A020B4"/>
    <w:rsid w:val="00A02DF8"/>
    <w:rsid w:val="00A06C4B"/>
    <w:rsid w:val="00A11130"/>
    <w:rsid w:val="00A24698"/>
    <w:rsid w:val="00A337D7"/>
    <w:rsid w:val="00A41111"/>
    <w:rsid w:val="00A4272A"/>
    <w:rsid w:val="00A460DA"/>
    <w:rsid w:val="00A479FD"/>
    <w:rsid w:val="00A546E4"/>
    <w:rsid w:val="00A60165"/>
    <w:rsid w:val="00A61675"/>
    <w:rsid w:val="00A61DB2"/>
    <w:rsid w:val="00A65E37"/>
    <w:rsid w:val="00A7013D"/>
    <w:rsid w:val="00A73F70"/>
    <w:rsid w:val="00A7449C"/>
    <w:rsid w:val="00A75830"/>
    <w:rsid w:val="00A76D9E"/>
    <w:rsid w:val="00A90129"/>
    <w:rsid w:val="00A92D29"/>
    <w:rsid w:val="00AA0DB3"/>
    <w:rsid w:val="00AA1E3C"/>
    <w:rsid w:val="00AA3CE3"/>
    <w:rsid w:val="00AA4FC1"/>
    <w:rsid w:val="00AA6DEB"/>
    <w:rsid w:val="00AB17AA"/>
    <w:rsid w:val="00AB5FB2"/>
    <w:rsid w:val="00AC2291"/>
    <w:rsid w:val="00AC3BAB"/>
    <w:rsid w:val="00AD4BCC"/>
    <w:rsid w:val="00AD605D"/>
    <w:rsid w:val="00AE1BC0"/>
    <w:rsid w:val="00AE6B2C"/>
    <w:rsid w:val="00AE6D28"/>
    <w:rsid w:val="00AE722C"/>
    <w:rsid w:val="00AE7B08"/>
    <w:rsid w:val="00AF000A"/>
    <w:rsid w:val="00AF680D"/>
    <w:rsid w:val="00B02D64"/>
    <w:rsid w:val="00B06E2B"/>
    <w:rsid w:val="00B10236"/>
    <w:rsid w:val="00B10382"/>
    <w:rsid w:val="00B1272A"/>
    <w:rsid w:val="00B15BB3"/>
    <w:rsid w:val="00B15E32"/>
    <w:rsid w:val="00B21E88"/>
    <w:rsid w:val="00B22AD1"/>
    <w:rsid w:val="00B26E20"/>
    <w:rsid w:val="00B37B4B"/>
    <w:rsid w:val="00B405EC"/>
    <w:rsid w:val="00B407C6"/>
    <w:rsid w:val="00B4108C"/>
    <w:rsid w:val="00B41E3D"/>
    <w:rsid w:val="00B428EF"/>
    <w:rsid w:val="00B473D0"/>
    <w:rsid w:val="00B56E05"/>
    <w:rsid w:val="00B66A94"/>
    <w:rsid w:val="00B75159"/>
    <w:rsid w:val="00B863B5"/>
    <w:rsid w:val="00B90423"/>
    <w:rsid w:val="00B91BC4"/>
    <w:rsid w:val="00BA1418"/>
    <w:rsid w:val="00BA19A7"/>
    <w:rsid w:val="00BA4E7D"/>
    <w:rsid w:val="00BA55C0"/>
    <w:rsid w:val="00BB2E1D"/>
    <w:rsid w:val="00BB354C"/>
    <w:rsid w:val="00BB455C"/>
    <w:rsid w:val="00BB50A8"/>
    <w:rsid w:val="00BB5E49"/>
    <w:rsid w:val="00BC0217"/>
    <w:rsid w:val="00BC1C20"/>
    <w:rsid w:val="00BC2663"/>
    <w:rsid w:val="00BC56E2"/>
    <w:rsid w:val="00BC5A98"/>
    <w:rsid w:val="00BC5DA6"/>
    <w:rsid w:val="00BD033F"/>
    <w:rsid w:val="00BD2081"/>
    <w:rsid w:val="00BD2DCD"/>
    <w:rsid w:val="00BD7CA1"/>
    <w:rsid w:val="00BE460F"/>
    <w:rsid w:val="00BE6535"/>
    <w:rsid w:val="00BF0D1A"/>
    <w:rsid w:val="00BF6B18"/>
    <w:rsid w:val="00C01965"/>
    <w:rsid w:val="00C03932"/>
    <w:rsid w:val="00C0473D"/>
    <w:rsid w:val="00C241AE"/>
    <w:rsid w:val="00C24DDC"/>
    <w:rsid w:val="00C25BA6"/>
    <w:rsid w:val="00C27DFD"/>
    <w:rsid w:val="00C40C2D"/>
    <w:rsid w:val="00C419E1"/>
    <w:rsid w:val="00C45384"/>
    <w:rsid w:val="00C455C2"/>
    <w:rsid w:val="00C50191"/>
    <w:rsid w:val="00C5118B"/>
    <w:rsid w:val="00C529FA"/>
    <w:rsid w:val="00C54F47"/>
    <w:rsid w:val="00C55B02"/>
    <w:rsid w:val="00C61047"/>
    <w:rsid w:val="00C801AF"/>
    <w:rsid w:val="00C81080"/>
    <w:rsid w:val="00C849AC"/>
    <w:rsid w:val="00C85E8A"/>
    <w:rsid w:val="00C94074"/>
    <w:rsid w:val="00CA0A9A"/>
    <w:rsid w:val="00CA2657"/>
    <w:rsid w:val="00CA28E2"/>
    <w:rsid w:val="00CC03EE"/>
    <w:rsid w:val="00CC0FEA"/>
    <w:rsid w:val="00CC6285"/>
    <w:rsid w:val="00CC712B"/>
    <w:rsid w:val="00CD6417"/>
    <w:rsid w:val="00CE057C"/>
    <w:rsid w:val="00CE1141"/>
    <w:rsid w:val="00CE440B"/>
    <w:rsid w:val="00CF2515"/>
    <w:rsid w:val="00CF546E"/>
    <w:rsid w:val="00CF6910"/>
    <w:rsid w:val="00D005E4"/>
    <w:rsid w:val="00D10C49"/>
    <w:rsid w:val="00D146F3"/>
    <w:rsid w:val="00D15033"/>
    <w:rsid w:val="00D2148A"/>
    <w:rsid w:val="00D24845"/>
    <w:rsid w:val="00D330D3"/>
    <w:rsid w:val="00D34712"/>
    <w:rsid w:val="00D4192B"/>
    <w:rsid w:val="00D44A3B"/>
    <w:rsid w:val="00D45369"/>
    <w:rsid w:val="00D45392"/>
    <w:rsid w:val="00D5387A"/>
    <w:rsid w:val="00D56417"/>
    <w:rsid w:val="00D5648B"/>
    <w:rsid w:val="00D56BA4"/>
    <w:rsid w:val="00D60E35"/>
    <w:rsid w:val="00D6499A"/>
    <w:rsid w:val="00D71F53"/>
    <w:rsid w:val="00D7313D"/>
    <w:rsid w:val="00D77327"/>
    <w:rsid w:val="00D77B03"/>
    <w:rsid w:val="00D8093E"/>
    <w:rsid w:val="00D87B7C"/>
    <w:rsid w:val="00D90FA2"/>
    <w:rsid w:val="00D93327"/>
    <w:rsid w:val="00D96955"/>
    <w:rsid w:val="00DA573E"/>
    <w:rsid w:val="00DA6F65"/>
    <w:rsid w:val="00DB206E"/>
    <w:rsid w:val="00DB6309"/>
    <w:rsid w:val="00DB71F9"/>
    <w:rsid w:val="00DB7D5F"/>
    <w:rsid w:val="00DC0458"/>
    <w:rsid w:val="00DC1D45"/>
    <w:rsid w:val="00DC5348"/>
    <w:rsid w:val="00DE019E"/>
    <w:rsid w:val="00DE1691"/>
    <w:rsid w:val="00DE3E13"/>
    <w:rsid w:val="00DE6C28"/>
    <w:rsid w:val="00DE79AA"/>
    <w:rsid w:val="00DF2E47"/>
    <w:rsid w:val="00DF7BC2"/>
    <w:rsid w:val="00E015EA"/>
    <w:rsid w:val="00E03B64"/>
    <w:rsid w:val="00E046B0"/>
    <w:rsid w:val="00E06093"/>
    <w:rsid w:val="00E10A89"/>
    <w:rsid w:val="00E11D1B"/>
    <w:rsid w:val="00E12C81"/>
    <w:rsid w:val="00E12EB6"/>
    <w:rsid w:val="00E164DF"/>
    <w:rsid w:val="00E17533"/>
    <w:rsid w:val="00E27FF1"/>
    <w:rsid w:val="00E3314E"/>
    <w:rsid w:val="00E33E5A"/>
    <w:rsid w:val="00E35138"/>
    <w:rsid w:val="00E430AE"/>
    <w:rsid w:val="00E461F2"/>
    <w:rsid w:val="00E47E6B"/>
    <w:rsid w:val="00E53232"/>
    <w:rsid w:val="00E53D8D"/>
    <w:rsid w:val="00E5542A"/>
    <w:rsid w:val="00E564E3"/>
    <w:rsid w:val="00E56F34"/>
    <w:rsid w:val="00E57684"/>
    <w:rsid w:val="00E670FA"/>
    <w:rsid w:val="00E72AB1"/>
    <w:rsid w:val="00E745F1"/>
    <w:rsid w:val="00E74907"/>
    <w:rsid w:val="00E7618C"/>
    <w:rsid w:val="00E83C69"/>
    <w:rsid w:val="00E90F9B"/>
    <w:rsid w:val="00E91F4D"/>
    <w:rsid w:val="00E92B19"/>
    <w:rsid w:val="00E96560"/>
    <w:rsid w:val="00E96A59"/>
    <w:rsid w:val="00E96BD9"/>
    <w:rsid w:val="00EB3DD8"/>
    <w:rsid w:val="00EB6100"/>
    <w:rsid w:val="00EB7220"/>
    <w:rsid w:val="00EB76D3"/>
    <w:rsid w:val="00EC519F"/>
    <w:rsid w:val="00EC5CFE"/>
    <w:rsid w:val="00EC72C3"/>
    <w:rsid w:val="00ED0F25"/>
    <w:rsid w:val="00EE716C"/>
    <w:rsid w:val="00EF11CC"/>
    <w:rsid w:val="00EF630E"/>
    <w:rsid w:val="00EF72E8"/>
    <w:rsid w:val="00F06CED"/>
    <w:rsid w:val="00F07B1F"/>
    <w:rsid w:val="00F112F3"/>
    <w:rsid w:val="00F12AAF"/>
    <w:rsid w:val="00F130BE"/>
    <w:rsid w:val="00F201A9"/>
    <w:rsid w:val="00F232F0"/>
    <w:rsid w:val="00F30048"/>
    <w:rsid w:val="00F301DF"/>
    <w:rsid w:val="00F34044"/>
    <w:rsid w:val="00F344B1"/>
    <w:rsid w:val="00F34575"/>
    <w:rsid w:val="00F347F0"/>
    <w:rsid w:val="00F409EC"/>
    <w:rsid w:val="00F55FE2"/>
    <w:rsid w:val="00F61DCD"/>
    <w:rsid w:val="00F7072E"/>
    <w:rsid w:val="00F739D5"/>
    <w:rsid w:val="00F73E90"/>
    <w:rsid w:val="00F915FF"/>
    <w:rsid w:val="00F91A05"/>
    <w:rsid w:val="00F935F1"/>
    <w:rsid w:val="00F95E52"/>
    <w:rsid w:val="00F961C5"/>
    <w:rsid w:val="00FA1DF8"/>
    <w:rsid w:val="00FA3BF1"/>
    <w:rsid w:val="00FA5700"/>
    <w:rsid w:val="00FB0284"/>
    <w:rsid w:val="00FB38AF"/>
    <w:rsid w:val="00FC2371"/>
    <w:rsid w:val="00FC25CD"/>
    <w:rsid w:val="00FC7C30"/>
    <w:rsid w:val="00FD1326"/>
    <w:rsid w:val="00FD4770"/>
    <w:rsid w:val="00FD603C"/>
    <w:rsid w:val="00FE13E1"/>
    <w:rsid w:val="00FE333C"/>
    <w:rsid w:val="00FF037E"/>
    <w:rsid w:val="00FF13E0"/>
    <w:rsid w:val="00FF1EB1"/>
    <w:rsid w:val="00FF3F8C"/>
    <w:rsid w:val="00FF4504"/>
    <w:rsid w:val="00FF5CFE"/>
    <w:rsid w:val="399D66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页眉 Char"/>
    <w:basedOn w:val="4"/>
    <w:link w:val="3"/>
    <w:uiPriority w:val="99"/>
  </w:style>
  <w:style w:type="character" w:customStyle="1" w:styleId="7">
    <w:name w:val="页脚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arry\Desktop\FOF_&#20928;&#20540;_201701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aseline="0"/>
              <a:t> </a:t>
            </a:r>
            <a:r>
              <a:rPr lang="zh-CN" altLang="en-US" baseline="0"/>
              <a:t>三智启明</a:t>
            </a:r>
            <a:r>
              <a:rPr lang="en-US" altLang="zh-CN" baseline="0"/>
              <a:t>-</a:t>
            </a:r>
            <a:r>
              <a:rPr lang="zh-CN" altLang="en-US" baseline="0"/>
              <a:t>天秤</a:t>
            </a:r>
            <a:r>
              <a:rPr lang="en-US" altLang="zh-CN" baseline="0"/>
              <a:t>1</a:t>
            </a:r>
            <a:r>
              <a:rPr lang="zh-CN" altLang="en-US" baseline="0"/>
              <a:t>号</a:t>
            </a:r>
            <a:r>
              <a:rPr lang="en-US" altLang="zh-CN" baseline="0"/>
              <a:t>FOF</a:t>
            </a:r>
            <a:r>
              <a:rPr lang="zh-CN" altLang="en-US" baseline="0"/>
              <a:t>净值表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Sheet1!$O$25</c:f>
              <c:strCache>
                <c:ptCount val="1"/>
                <c:pt idx="0">
                  <c:v>FOF收益率（周）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Sheet1!$M$26:$M$37</c:f>
              <c:numCache>
                <c:formatCode>yyyy/m/d</c:formatCode>
                <c:ptCount val="12"/>
                <c:pt idx="0" c:formatCode="yyyy/m/d">
                  <c:v>42662</c:v>
                </c:pt>
                <c:pt idx="1" c:formatCode="yyyy/m/d">
                  <c:v>42664</c:v>
                </c:pt>
                <c:pt idx="2" c:formatCode="yyyy/m/d">
                  <c:v>42671</c:v>
                </c:pt>
                <c:pt idx="3" c:formatCode="yyyy/m/d">
                  <c:v>42678</c:v>
                </c:pt>
                <c:pt idx="4" c:formatCode="yyyy/m/d">
                  <c:v>42685</c:v>
                </c:pt>
                <c:pt idx="5" c:formatCode="yyyy/m/d">
                  <c:v>42692</c:v>
                </c:pt>
                <c:pt idx="6" c:formatCode="yyyy/m/d">
                  <c:v>42699</c:v>
                </c:pt>
                <c:pt idx="7" c:formatCode="yyyy/m/d">
                  <c:v>42706</c:v>
                </c:pt>
                <c:pt idx="8" c:formatCode="yyyy/m/d">
                  <c:v>42713</c:v>
                </c:pt>
                <c:pt idx="9" c:formatCode="yyyy/m/d">
                  <c:v>42720</c:v>
                </c:pt>
                <c:pt idx="10" c:formatCode="yyyy/m/d">
                  <c:v>42727</c:v>
                </c:pt>
                <c:pt idx="11" c:formatCode="yyyy/m/d">
                  <c:v>42734</c:v>
                </c:pt>
              </c:numCache>
            </c:numRef>
          </c:cat>
          <c:val>
            <c:numRef>
              <c:f>Sheet1!$O$26:$O$37</c:f>
              <c:numCache>
                <c:formatCode>0%</c:formatCode>
                <c:ptCount val="12"/>
                <c:pt idx="0">
                  <c:v>0</c:v>
                </c:pt>
                <c:pt idx="1" c:formatCode="0.00%">
                  <c:v>0.00130339527697299</c:v>
                </c:pt>
                <c:pt idx="2" c:formatCode="0.00%">
                  <c:v>0.00388156856695399</c:v>
                </c:pt>
                <c:pt idx="3" c:formatCode="0.00%">
                  <c:v>0.00454286510455471</c:v>
                </c:pt>
                <c:pt idx="4" c:formatCode="0.00%">
                  <c:v>0.00828141561625162</c:v>
                </c:pt>
                <c:pt idx="5" c:formatCode="0.00%">
                  <c:v>-0.0026562380657229</c:v>
                </c:pt>
                <c:pt idx="6" c:formatCode="0.00%">
                  <c:v>0.000280061862739212</c:v>
                </c:pt>
                <c:pt idx="7" c:formatCode="0.00%">
                  <c:v>-0.00290519485695095</c:v>
                </c:pt>
                <c:pt idx="8" c:formatCode="0.00%">
                  <c:v>-0.00122630603315521</c:v>
                </c:pt>
                <c:pt idx="9" c:formatCode="0.00%">
                  <c:v>-0.0159417212852839</c:v>
                </c:pt>
                <c:pt idx="10" c:formatCode="0.00%">
                  <c:v>-0.00253919530529911</c:v>
                </c:pt>
                <c:pt idx="11" c:formatCode="0.00%">
                  <c:v>-0.000954199665661459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98776"/>
        <c:axId val="450299560"/>
      </c:barChart>
      <c:lineChart>
        <c:grouping val="standard"/>
        <c:varyColors val="0"/>
        <c:ser>
          <c:idx val="0"/>
          <c:order val="0"/>
          <c:tx>
            <c:strRef>
              <c:f>Sheet1!$N$25</c:f>
              <c:strCache>
                <c:ptCount val="1"/>
                <c:pt idx="0">
                  <c:v>净值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Sheet1!$M$26:$M$37</c:f>
              <c:numCache>
                <c:formatCode>yyyy/m/d</c:formatCode>
                <c:ptCount val="12"/>
                <c:pt idx="0" c:formatCode="yyyy/m/d">
                  <c:v>42662</c:v>
                </c:pt>
                <c:pt idx="1" c:formatCode="yyyy/m/d">
                  <c:v>42664</c:v>
                </c:pt>
                <c:pt idx="2" c:formatCode="yyyy/m/d">
                  <c:v>42671</c:v>
                </c:pt>
                <c:pt idx="3" c:formatCode="yyyy/m/d">
                  <c:v>42678</c:v>
                </c:pt>
                <c:pt idx="4" c:formatCode="yyyy/m/d">
                  <c:v>42685</c:v>
                </c:pt>
                <c:pt idx="5" c:formatCode="yyyy/m/d">
                  <c:v>42692</c:v>
                </c:pt>
                <c:pt idx="6" c:formatCode="yyyy/m/d">
                  <c:v>42699</c:v>
                </c:pt>
                <c:pt idx="7" c:formatCode="yyyy/m/d">
                  <c:v>42706</c:v>
                </c:pt>
                <c:pt idx="8" c:formatCode="yyyy/m/d">
                  <c:v>42713</c:v>
                </c:pt>
                <c:pt idx="9" c:formatCode="yyyy/m/d">
                  <c:v>42720</c:v>
                </c:pt>
                <c:pt idx="10" c:formatCode="yyyy/m/d">
                  <c:v>42727</c:v>
                </c:pt>
                <c:pt idx="11" c:formatCode="yyyy/m/d">
                  <c:v>42734</c:v>
                </c:pt>
              </c:numCache>
            </c:numRef>
          </c:cat>
          <c:val>
            <c:numRef>
              <c:f>Sheet1!$N$26:$N$37</c:f>
              <c:numCache>
                <c:formatCode>0.0000</c:formatCode>
                <c:ptCount val="12"/>
                <c:pt idx="0">
                  <c:v>0.989880990268393</c:v>
                </c:pt>
                <c:pt idx="1">
                  <c:v>0.991184385545366</c:v>
                </c:pt>
                <c:pt idx="2">
                  <c:v>0.99506595411232</c:v>
                </c:pt>
                <c:pt idx="3">
                  <c:v>0.999608819216874</c:v>
                </c:pt>
                <c:pt idx="4">
                  <c:v>1.00789023483313</c:v>
                </c:pt>
                <c:pt idx="5">
                  <c:v>1.0052339967674</c:v>
                </c:pt>
                <c:pt idx="6">
                  <c:v>1.00551405863014</c:v>
                </c:pt>
                <c:pt idx="7">
                  <c:v>1.00260886377319</c:v>
                </c:pt>
                <c:pt idx="8">
                  <c:v>1.00138255774004</c:v>
                </c:pt>
                <c:pt idx="9">
                  <c:v>0.985440836454752</c:v>
                </c:pt>
                <c:pt idx="10">
                  <c:v>0.982901641149453</c:v>
                </c:pt>
                <c:pt idx="11">
                  <c:v>0.981947441483792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0299168"/>
        <c:axId val="450297992"/>
      </c:lineChart>
      <c:dateAx>
        <c:axId val="450299168"/>
        <c:scaling>
          <c:orientation val="minMax"/>
          <c:min val="42664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0297992"/>
        <c:crosses val="autoZero"/>
        <c:auto val="1"/>
        <c:lblOffset val="100"/>
        <c:baseTimeUnit val="days"/>
        <c:majorUnit val="7"/>
        <c:majorTimeUnit val="days"/>
      </c:dateAx>
      <c:valAx>
        <c:axId val="450297992"/>
        <c:scaling>
          <c:orientation val="minMax"/>
          <c:max val="1.015"/>
          <c:min val="0.97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净值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0299168"/>
        <c:crosses val="autoZero"/>
        <c:crossBetween val="between"/>
      </c:valAx>
      <c:dateAx>
        <c:axId val="45029877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0299560"/>
        <c:crosses val="autoZero"/>
        <c:auto val="1"/>
        <c:lblOffset val="100"/>
        <c:baseTimeUnit val="days"/>
      </c:dateAx>
      <c:valAx>
        <c:axId val="450299560"/>
        <c:scaling>
          <c:orientation val="minMax"/>
          <c:max val="0.02"/>
          <c:min val="-0.02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收益率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0298776"/>
        <c:crosses val="max"/>
        <c:crossBetween val="between"/>
        <c:majorUnit val="0.00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1225</Characters>
  <Lines>10</Lines>
  <Paragraphs>2</Paragraphs>
  <TotalTime>0</TotalTime>
  <ScaleCrop>false</ScaleCrop>
  <LinksUpToDate>false</LinksUpToDate>
  <CharactersWithSpaces>1437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2017-01-19T02:58:00Z</dcterms:created>
  <dc:creator>Harry Jao</dc:creator>
  <cp:lastModifiedBy>003101</cp:lastModifiedBy>
  <dcterms:modified xsi:type="dcterms:W3CDTF">2017-01-19T05:54:13Z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